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0507F1" w:rsidRPr="000507F1">
        <w:rPr>
          <w:rFonts w:ascii="Times New Roman" w:hAnsi="Times New Roman" w:cs="Times New Roman"/>
          <w:color w:val="000000" w:themeColor="text1"/>
          <w:sz w:val="28"/>
          <w:szCs w:val="28"/>
        </w:rPr>
        <w:t>Какие типичные нарушения могут быть допущены при финансировании избирательной кампании?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>1. Неоплата из средств избирательного фонда расходов на проведение избирательной кампании.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 xml:space="preserve">Часть расходов на проведение избирательной кампании особенно на выборах, размер избирательного фонда на которых несоразмерно низкий, может не проходить через избирательный фонд. В частности, расходы на оплату труда физических лиц, оказывающих содействие кандидату или избирательному объединению в проведении избирательной кампании (сборщики подписей, агитаторы, сотрудники избирательного штаба), могут производиться не из средств избирательного фонда. Необходимо выявлять такие случаи, информировать должностных лиц избирательных комиссий и общественность. 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>2. Материальная поддержка кандидатов, не компенсированная из средств избирательного фонда.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>Материальная поддержка кандидата,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 xml:space="preserve">Однако на практике часты случаи, когда кандидаты получают поддержку от граждан и юридических лиц в виде безвозмездного предоставления им в пользование служебного автотранспорта при проведении агитационных мероприятий, оргтехники в избирательный штаб, помещений для встреч с избирателями и т.д. 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 xml:space="preserve">Каждый такой факт должен быть проверен и, в случае подтверждения нарушения законодательства, доведен до сведения соответствующей избирательной комиссии и общественности. 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>3. Выполнение работ, реализация товаров, оказание услуг, не оплаченных из средств избирательного фонда или оплаченных по необоснованно заниженным ценам.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 xml:space="preserve">В качестве возможных противоправных деяний следует назвать безвозмездное, а также по необоснованно заниженным ценам изготовление агитационных печатных материалов, оказание услуг по политическому консалтингу, юридическому сопровождению избирательной кампании, использование услуг мобильной связи и т.п. 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sz w:val="28"/>
          <w:szCs w:val="28"/>
        </w:rPr>
        <w:t>Одним из вариантов оценки размера необоснованного занижения стоимости товаров, работ и услуг может быть исчисление данной стоимости исходя из базовой рыночной оценки в данной местности выполнения работы, изготовления товара, оказания услуги.</w:t>
      </w:r>
    </w:p>
    <w:p w:rsidR="000507F1" w:rsidRPr="000507F1" w:rsidRDefault="000507F1" w:rsidP="000507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7F1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2016-08-04T07:01:00Z</dcterms:created>
  <dcterms:modified xsi:type="dcterms:W3CDTF">2016-08-04T07:01:00Z</dcterms:modified>
</cp:coreProperties>
</file>