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1603F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71603F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71603F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71603F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58D6">
        <w:rPr>
          <w:b/>
          <w:sz w:val="28"/>
          <w:szCs w:val="28"/>
        </w:rPr>
        <w:t>07 февраля</w:t>
      </w:r>
      <w:r w:rsidR="00030BE9">
        <w:rPr>
          <w:b/>
          <w:sz w:val="28"/>
          <w:szCs w:val="28"/>
        </w:rPr>
        <w:t xml:space="preserve"> 201</w:t>
      </w:r>
      <w:r w:rsidR="005058D6">
        <w:rPr>
          <w:b/>
          <w:sz w:val="28"/>
          <w:szCs w:val="28"/>
        </w:rPr>
        <w:t xml:space="preserve">9 года </w:t>
      </w:r>
      <w:r w:rsidR="005346CC">
        <w:rPr>
          <w:b/>
          <w:sz w:val="28"/>
          <w:szCs w:val="28"/>
        </w:rPr>
        <w:t>№4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5346CC">
        <w:rPr>
          <w:b/>
          <w:sz w:val="28"/>
          <w:szCs w:val="28"/>
        </w:rPr>
        <w:t>деревни Красный Берег</w:t>
      </w:r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5346CC">
        <w:rPr>
          <w:b/>
          <w:sz w:val="28"/>
          <w:szCs w:val="28"/>
        </w:rPr>
        <w:t>деревни Красный Берег</w:t>
      </w:r>
      <w:r w:rsidR="005058D6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</w:t>
      </w:r>
      <w:proofErr w:type="gramEnd"/>
      <w:r w:rsidRPr="008A03DF">
        <w:rPr>
          <w:sz w:val="28"/>
          <w:szCs w:val="28"/>
        </w:rPr>
        <w:t xml:space="preserve">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25.01.2019  года  №3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</w:t>
      </w:r>
      <w:proofErr w:type="gramEnd"/>
      <w:r w:rsidRPr="00614167">
        <w:rPr>
          <w:sz w:val="26"/>
          <w:szCs w:val="26"/>
        </w:rPr>
        <w:t xml:space="preserve"> </w:t>
      </w:r>
      <w:proofErr w:type="gramStart"/>
      <w:r w:rsidRPr="00614167">
        <w:rPr>
          <w:sz w:val="26"/>
          <w:szCs w:val="26"/>
        </w:rPr>
        <w:t>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="009376DA" w:rsidRPr="005346CC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>сельского поселения Исаклы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614167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9B4A66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6369010225 КПП 6369010001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proofErr w:type="gramStart"/>
      <w:r w:rsidRPr="009B4A66">
        <w:rPr>
          <w:sz w:val="26"/>
          <w:szCs w:val="26"/>
        </w:rPr>
        <w:t>л</w:t>
      </w:r>
      <w:proofErr w:type="gramEnd"/>
      <w:r w:rsidRPr="009B4A66">
        <w:rPr>
          <w:sz w:val="26"/>
          <w:szCs w:val="26"/>
        </w:rPr>
        <w:t>/счет 04423007040 БИК 043601001</w:t>
      </w:r>
    </w:p>
    <w:p w:rsidR="009B4A66" w:rsidRPr="009B4A66" w:rsidRDefault="009B4A66" w:rsidP="009B4A66">
      <w:pPr>
        <w:rPr>
          <w:sz w:val="26"/>
          <w:szCs w:val="26"/>
        </w:rPr>
      </w:pPr>
      <w:proofErr w:type="spellStart"/>
      <w:r w:rsidRPr="009B4A66">
        <w:rPr>
          <w:sz w:val="26"/>
          <w:szCs w:val="26"/>
        </w:rPr>
        <w:t>р</w:t>
      </w:r>
      <w:proofErr w:type="spellEnd"/>
      <w:r w:rsidRPr="009B4A66">
        <w:rPr>
          <w:sz w:val="26"/>
          <w:szCs w:val="26"/>
        </w:rPr>
        <w:t>/счет 40101810822020012001 Отделение Самара г</w:t>
      </w:r>
      <w:proofErr w:type="gramStart"/>
      <w:r w:rsidRPr="009B4A66">
        <w:rPr>
          <w:sz w:val="26"/>
          <w:szCs w:val="26"/>
        </w:rPr>
        <w:t>.С</w:t>
      </w:r>
      <w:proofErr w:type="gramEnd"/>
      <w:r w:rsidRPr="009B4A66">
        <w:rPr>
          <w:sz w:val="26"/>
          <w:szCs w:val="26"/>
        </w:rPr>
        <w:t>амара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ОГРН 1056369007606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lastRenderedPageBreak/>
        <w:t>ОКТМО  36616408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ОКПО 79165537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ОВЭД 84.11.3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КБК 281 1 17 14030 10 0000 150 – Средства самообложения граждан, зачисляемые в бюджеты сельских поселений</w:t>
      </w: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д</w:t>
      </w:r>
      <w:proofErr w:type="gramStart"/>
      <w:r w:rsidRPr="009B4A66">
        <w:rPr>
          <w:sz w:val="26"/>
          <w:szCs w:val="26"/>
        </w:rPr>
        <w:t>.К</w:t>
      </w:r>
      <w:proofErr w:type="gramEnd"/>
      <w:r w:rsidRPr="009B4A66">
        <w:rPr>
          <w:sz w:val="26"/>
          <w:szCs w:val="26"/>
        </w:rPr>
        <w:t>расный Берег «О самообложении граждан» принятого 06.02.2019г. на ремонт дороги в д.Красный Берег с установкой водопропускных труб.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6369010225 КПП 6369010001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proofErr w:type="gramStart"/>
      <w:r w:rsidRPr="009B4A66">
        <w:rPr>
          <w:sz w:val="26"/>
          <w:szCs w:val="26"/>
        </w:rPr>
        <w:t>л</w:t>
      </w:r>
      <w:proofErr w:type="gramEnd"/>
      <w:r w:rsidRPr="009B4A66">
        <w:rPr>
          <w:sz w:val="26"/>
          <w:szCs w:val="26"/>
        </w:rPr>
        <w:t>/счет 04423007040 БИК 043601001</w:t>
      </w:r>
    </w:p>
    <w:p w:rsidR="009B4A66" w:rsidRPr="009B4A66" w:rsidRDefault="009B4A66" w:rsidP="009B4A66">
      <w:pPr>
        <w:rPr>
          <w:sz w:val="26"/>
          <w:szCs w:val="26"/>
        </w:rPr>
      </w:pPr>
      <w:proofErr w:type="spellStart"/>
      <w:r w:rsidRPr="009B4A66">
        <w:rPr>
          <w:sz w:val="26"/>
          <w:szCs w:val="26"/>
        </w:rPr>
        <w:t>р</w:t>
      </w:r>
      <w:proofErr w:type="spellEnd"/>
      <w:r w:rsidRPr="009B4A66">
        <w:rPr>
          <w:sz w:val="26"/>
          <w:szCs w:val="26"/>
        </w:rPr>
        <w:t>/счет 40101810822020012001 Отделение Самара г</w:t>
      </w:r>
      <w:proofErr w:type="gramStart"/>
      <w:r w:rsidRPr="009B4A66">
        <w:rPr>
          <w:sz w:val="26"/>
          <w:szCs w:val="26"/>
        </w:rPr>
        <w:t>.С</w:t>
      </w:r>
      <w:proofErr w:type="gramEnd"/>
      <w:r w:rsidRPr="009B4A66">
        <w:rPr>
          <w:sz w:val="26"/>
          <w:szCs w:val="26"/>
        </w:rPr>
        <w:t>амара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ОГРН 1056369007606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ОКТМО  36616408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ОКПО 79165537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ОВЭД 84.11.3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КБК 281 2 07 05030 10 0000 180 – Прочие безвозмездные поступления в бюджеты поселений</w:t>
      </w: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пожертвований (благотворительных взносов) на выполнение Решения схода граждан д</w:t>
      </w:r>
      <w:proofErr w:type="gramStart"/>
      <w:r w:rsidRPr="009B4A66">
        <w:rPr>
          <w:sz w:val="26"/>
          <w:szCs w:val="26"/>
        </w:rPr>
        <w:t>.К</w:t>
      </w:r>
      <w:proofErr w:type="gramEnd"/>
      <w:r w:rsidRPr="009B4A66">
        <w:rPr>
          <w:sz w:val="26"/>
          <w:szCs w:val="26"/>
        </w:rPr>
        <w:t>расный Берег «О самообложении граждан» принятого 06.02.2019г. на ремонт дороги в д.Красный Берег с установкой водопропускных труб.</w:t>
      </w:r>
    </w:p>
    <w:p w:rsidR="009B4A66" w:rsidRDefault="009B4A66" w:rsidP="009B4A66">
      <w:pPr>
        <w:jc w:val="both"/>
        <w:rPr>
          <w:sz w:val="28"/>
          <w:szCs w:val="28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Default="005346CC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07.02.2019  года  №4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5346CC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07.02.2019  года  №4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9B4A66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BA" w:rsidRDefault="001711BA" w:rsidP="005058D6">
      <w:r>
        <w:separator/>
      </w:r>
    </w:p>
  </w:endnote>
  <w:endnote w:type="continuationSeparator" w:id="0">
    <w:p w:rsidR="001711BA" w:rsidRDefault="001711BA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BA" w:rsidRDefault="001711BA" w:rsidP="005058D6">
      <w:r>
        <w:separator/>
      </w:r>
    </w:p>
  </w:footnote>
  <w:footnote w:type="continuationSeparator" w:id="0">
    <w:p w:rsidR="001711BA" w:rsidRDefault="001711BA" w:rsidP="005058D6">
      <w:r>
        <w:continuationSeparator/>
      </w:r>
    </w:p>
  </w:footnote>
  <w:footnote w:id="1"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Pr="00572933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DE5DA9" w:rsidRDefault="00DE5DA9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30BE9"/>
    <w:rsid w:val="001711BA"/>
    <w:rsid w:val="00285628"/>
    <w:rsid w:val="002A74DA"/>
    <w:rsid w:val="002B1AB4"/>
    <w:rsid w:val="002E31E7"/>
    <w:rsid w:val="003060CB"/>
    <w:rsid w:val="00396F7D"/>
    <w:rsid w:val="003C20F8"/>
    <w:rsid w:val="005058D6"/>
    <w:rsid w:val="005346CC"/>
    <w:rsid w:val="0056739E"/>
    <w:rsid w:val="0057153C"/>
    <w:rsid w:val="005E45AB"/>
    <w:rsid w:val="00614167"/>
    <w:rsid w:val="00635A20"/>
    <w:rsid w:val="007034B6"/>
    <w:rsid w:val="0071603F"/>
    <w:rsid w:val="008A03DF"/>
    <w:rsid w:val="009376DA"/>
    <w:rsid w:val="00973CFC"/>
    <w:rsid w:val="009B4A66"/>
    <w:rsid w:val="00B331D9"/>
    <w:rsid w:val="00CD64C5"/>
    <w:rsid w:val="00D2779F"/>
    <w:rsid w:val="00DE5DA9"/>
    <w:rsid w:val="00E06237"/>
    <w:rsid w:val="00E614F0"/>
    <w:rsid w:val="00E674B3"/>
    <w:rsid w:val="00EE23E7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84B3-DCE0-4BD4-9086-3D807EE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2019-02-18T04:25:00Z</cp:lastPrinted>
  <dcterms:created xsi:type="dcterms:W3CDTF">2016-12-30T06:15:00Z</dcterms:created>
  <dcterms:modified xsi:type="dcterms:W3CDTF">2019-02-18T04:25:00Z</dcterms:modified>
</cp:coreProperties>
</file>