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0A" w:rsidRDefault="00994F0A" w:rsidP="00994F0A">
      <w:pPr>
        <w:jc w:val="center"/>
        <w:rPr>
          <w:b/>
          <w:bCs/>
          <w:sz w:val="28"/>
          <w:szCs w:val="28"/>
        </w:rPr>
      </w:pPr>
      <w:r>
        <w:rPr>
          <w:b/>
          <w:sz w:val="27"/>
          <w:szCs w:val="27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994F0A" w:rsidRDefault="00994F0A" w:rsidP="0099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54020">
        <w:rPr>
          <w:b/>
          <w:caps/>
          <w:sz w:val="28"/>
          <w:szCs w:val="28"/>
        </w:rPr>
        <w:t>ИСАКЛИНСКИЙ</w:t>
      </w:r>
    </w:p>
    <w:p w:rsidR="00994F0A" w:rsidRDefault="00994F0A" w:rsidP="0099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94F0A" w:rsidRDefault="00E54020" w:rsidP="00994F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994F0A" w:rsidRDefault="00994F0A" w:rsidP="00994F0A">
      <w:pPr>
        <w:jc w:val="center"/>
        <w:rPr>
          <w:sz w:val="28"/>
          <w:szCs w:val="28"/>
        </w:rPr>
      </w:pPr>
    </w:p>
    <w:p w:rsidR="00994F0A" w:rsidRDefault="00994F0A" w:rsidP="00994F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4F0A" w:rsidRDefault="00372552" w:rsidP="0099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ноября 2022 года №115</w:t>
      </w:r>
    </w:p>
    <w:p w:rsidR="00994F0A" w:rsidRDefault="00994F0A" w:rsidP="00994F0A">
      <w:pPr>
        <w:jc w:val="center"/>
        <w:rPr>
          <w:b/>
          <w:sz w:val="28"/>
          <w:szCs w:val="28"/>
        </w:rPr>
      </w:pPr>
    </w:p>
    <w:p w:rsidR="00994F0A" w:rsidRDefault="00994F0A" w:rsidP="003E6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контрольно-счетной палате муниципального района Исаклинский полномочий контрольно-счетного органа поселения по осуществлению внешнего муниципальн</w:t>
      </w:r>
      <w:r w:rsidR="00372552">
        <w:rPr>
          <w:b/>
          <w:sz w:val="28"/>
          <w:szCs w:val="28"/>
        </w:rPr>
        <w:t xml:space="preserve">ого финансового контроля на </w:t>
      </w:r>
      <w:r w:rsidR="00FC50F4" w:rsidRPr="00FC50F4">
        <w:rPr>
          <w:b/>
          <w:sz w:val="28"/>
          <w:szCs w:val="28"/>
          <w:highlight w:val="yellow"/>
        </w:rPr>
        <w:t>период 2023</w:t>
      </w:r>
      <w:r w:rsidR="00372552" w:rsidRPr="00FC50F4">
        <w:rPr>
          <w:b/>
          <w:sz w:val="28"/>
          <w:szCs w:val="28"/>
          <w:highlight w:val="yellow"/>
        </w:rPr>
        <w:t>-2025</w:t>
      </w:r>
      <w:r w:rsidR="00FC50F4" w:rsidRPr="00FC50F4">
        <w:rPr>
          <w:b/>
          <w:sz w:val="28"/>
          <w:szCs w:val="28"/>
          <w:highlight w:val="yellow"/>
        </w:rPr>
        <w:t xml:space="preserve"> годы</w:t>
      </w:r>
    </w:p>
    <w:p w:rsidR="00994F0A" w:rsidRDefault="00994F0A" w:rsidP="00994F0A">
      <w:pPr>
        <w:jc w:val="center"/>
        <w:rPr>
          <w:b/>
          <w:sz w:val="28"/>
          <w:szCs w:val="28"/>
        </w:rPr>
      </w:pPr>
    </w:p>
    <w:p w:rsidR="00994F0A" w:rsidRDefault="00994F0A" w:rsidP="0099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председателя Собрания представителей сельского поселения Исаклы по вопросу передачи полномочий контрольно-счетного органа сельского поселения Исаклы муниципального района Исаклинский,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Исаклы,  Собрание представителей сельского поселения  Исаклы,</w:t>
      </w:r>
    </w:p>
    <w:p w:rsidR="00994F0A" w:rsidRDefault="00994F0A" w:rsidP="00994F0A">
      <w:pPr>
        <w:ind w:firstLine="709"/>
        <w:jc w:val="both"/>
        <w:rPr>
          <w:b/>
          <w:sz w:val="28"/>
          <w:szCs w:val="28"/>
        </w:rPr>
      </w:pPr>
    </w:p>
    <w:p w:rsidR="00994F0A" w:rsidRDefault="00994F0A" w:rsidP="00994F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1.Передать контрольно-счетной палате муниципального района Исаклинский полномочия контрольно-счетного органа сельского поселения по следующим вопросам: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местного бюджета;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экспертиза проектов местного бюджета;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внешняя проверка годового отчета об исполнении местного бюджета;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</w:t>
      </w:r>
      <w:r>
        <w:rPr>
          <w:sz w:val="28"/>
          <w:szCs w:val="28"/>
        </w:rPr>
        <w:lastRenderedPageBreak/>
        <w:t>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анализ бюджетного процесса в сельском поселении и подготовка предложений, направленных на его совершенствование;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участие в пределах полномочий в мероприятиях, направленных на противодействие коррупции.</w:t>
      </w:r>
    </w:p>
    <w:p w:rsidR="00994F0A" w:rsidRDefault="00994F0A" w:rsidP="00994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Одобрить проект Соглашения о передаче полномочий по осуществлению внешнего муниципального финансового контроля.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Поручить Председателю Собрания представителей сельского поселения Исаклы (Егоровой В.А.) заключить соглашение о передаче полномочий по осуществлению внешнего муниципального финансового контроля, указанных в пункте 1 данного решения.</w:t>
      </w:r>
    </w:p>
    <w:p w:rsidR="00994F0A" w:rsidRDefault="00994F0A" w:rsidP="0099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Отменить решение Собрания представителей </w:t>
      </w:r>
      <w:r w:rsidR="00A2709F">
        <w:rPr>
          <w:sz w:val="28"/>
          <w:szCs w:val="28"/>
        </w:rPr>
        <w:t>сельского посе</w:t>
      </w:r>
      <w:r w:rsidR="00372552">
        <w:rPr>
          <w:sz w:val="28"/>
          <w:szCs w:val="28"/>
        </w:rPr>
        <w:t>ления Исаклы от 15 ноября 2022 года № 55</w:t>
      </w:r>
      <w:r>
        <w:rPr>
          <w:sz w:val="28"/>
          <w:szCs w:val="28"/>
        </w:rPr>
        <w:t xml:space="preserve"> «О передаче контрольно-счетной палате муниципального района Исаклинский полномочий контрольно-счетного органа поселения по осуществлению внешнего муниципальн</w:t>
      </w:r>
      <w:r w:rsidR="00372552">
        <w:rPr>
          <w:sz w:val="28"/>
          <w:szCs w:val="28"/>
        </w:rPr>
        <w:t>ого финансового контроля на 2022 год и плановый период 2023-2024</w:t>
      </w:r>
      <w:r>
        <w:rPr>
          <w:sz w:val="28"/>
          <w:szCs w:val="28"/>
        </w:rPr>
        <w:t xml:space="preserve"> годов»;</w:t>
      </w:r>
    </w:p>
    <w:p w:rsidR="00994F0A" w:rsidRDefault="00994F0A" w:rsidP="0099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опубликовать в газете «Официальный вестник сельского поселения Исаклы».</w:t>
      </w:r>
    </w:p>
    <w:p w:rsidR="00994F0A" w:rsidRDefault="00994F0A" w:rsidP="0099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994F0A" w:rsidRDefault="00994F0A" w:rsidP="00994F0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A834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В.А.Егорова</w:t>
      </w:r>
    </w:p>
    <w:p w:rsidR="00994F0A" w:rsidRDefault="00994F0A" w:rsidP="00994F0A">
      <w:pPr>
        <w:outlineLvl w:val="0"/>
        <w:rPr>
          <w:noProof/>
          <w:sz w:val="28"/>
          <w:szCs w:val="28"/>
        </w:rPr>
      </w:pPr>
    </w:p>
    <w:p w:rsidR="00A8343C" w:rsidRDefault="00A8343C" w:rsidP="00994F0A">
      <w:pPr>
        <w:outlineLvl w:val="0"/>
        <w:rPr>
          <w:noProof/>
          <w:sz w:val="28"/>
          <w:szCs w:val="28"/>
        </w:rPr>
      </w:pP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994F0A" w:rsidRDefault="00994F0A" w:rsidP="00994F0A">
      <w:pPr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A834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t>И. А. Гулин</w:t>
      </w:r>
    </w:p>
    <w:p w:rsidR="00994F0A" w:rsidRDefault="00994F0A" w:rsidP="00994F0A">
      <w:pPr>
        <w:outlineLvl w:val="0"/>
        <w:rPr>
          <w:noProof/>
          <w:sz w:val="28"/>
          <w:szCs w:val="28"/>
        </w:rPr>
      </w:pPr>
    </w:p>
    <w:p w:rsidR="00994F0A" w:rsidRDefault="00994F0A" w:rsidP="00994F0A"/>
    <w:p w:rsidR="00994F0A" w:rsidRDefault="00994F0A" w:rsidP="00994F0A"/>
    <w:p w:rsidR="00994F0A" w:rsidRDefault="00994F0A" w:rsidP="00994F0A">
      <w:pPr>
        <w:tabs>
          <w:tab w:val="left" w:pos="6468"/>
          <w:tab w:val="right" w:pos="9355"/>
        </w:tabs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</w:p>
    <w:p w:rsidR="00994F0A" w:rsidRDefault="00994F0A" w:rsidP="00994F0A">
      <w:pPr>
        <w:tabs>
          <w:tab w:val="left" w:pos="6468"/>
          <w:tab w:val="right" w:pos="9355"/>
        </w:tabs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</w:p>
    <w:p w:rsidR="00994F0A" w:rsidRDefault="00994F0A" w:rsidP="00994F0A">
      <w:pPr>
        <w:tabs>
          <w:tab w:val="left" w:pos="6468"/>
          <w:tab w:val="right" w:pos="9355"/>
        </w:tabs>
        <w:jc w:val="center"/>
        <w:outlineLvl w:val="0"/>
        <w:rPr>
          <w:szCs w:val="24"/>
        </w:rPr>
      </w:pPr>
    </w:p>
    <w:p w:rsidR="00994F0A" w:rsidRDefault="00994F0A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к решению Собрания представителей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сельского поселения Исаклы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 xml:space="preserve"> муниципального района Исаклинский 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Самарской области</w:t>
      </w:r>
    </w:p>
    <w:p w:rsidR="00994F0A" w:rsidRPr="00A2709F" w:rsidRDefault="00994F0A" w:rsidP="00994F0A">
      <w:pPr>
        <w:tabs>
          <w:tab w:val="left" w:pos="5820"/>
          <w:tab w:val="right" w:pos="9355"/>
        </w:tabs>
        <w:outlineLvl w:val="0"/>
        <w:rPr>
          <w:szCs w:val="24"/>
        </w:rPr>
      </w:pPr>
      <w:r>
        <w:rPr>
          <w:szCs w:val="24"/>
        </w:rPr>
        <w:tab/>
        <w:t xml:space="preserve">                     от </w:t>
      </w:r>
      <w:r w:rsidR="00372552">
        <w:rPr>
          <w:szCs w:val="24"/>
          <w:u w:val="single"/>
        </w:rPr>
        <w:t>23.11.2022</w:t>
      </w:r>
      <w:r>
        <w:rPr>
          <w:szCs w:val="24"/>
          <w:u w:val="single"/>
        </w:rPr>
        <w:t xml:space="preserve"> г.</w:t>
      </w:r>
      <w:r w:rsidR="00372552">
        <w:rPr>
          <w:szCs w:val="24"/>
        </w:rPr>
        <w:t xml:space="preserve"> №</w:t>
      </w:r>
      <w:r w:rsidR="00372552">
        <w:rPr>
          <w:szCs w:val="24"/>
          <w:u w:val="single"/>
        </w:rPr>
        <w:t>115</w:t>
      </w:r>
    </w:p>
    <w:p w:rsidR="00994F0A" w:rsidRDefault="00994F0A" w:rsidP="00994F0A">
      <w:pPr>
        <w:tabs>
          <w:tab w:val="left" w:pos="5820"/>
          <w:tab w:val="right" w:pos="9355"/>
        </w:tabs>
        <w:outlineLvl w:val="0"/>
        <w:rPr>
          <w:szCs w:val="24"/>
        </w:rPr>
      </w:pP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(ПРОЕКТ)</w:t>
      </w:r>
    </w:p>
    <w:p w:rsidR="00994F0A" w:rsidRDefault="00994F0A" w:rsidP="00994F0A">
      <w:pPr>
        <w:jc w:val="center"/>
        <w:outlineLvl w:val="0"/>
        <w:rPr>
          <w:b/>
          <w:szCs w:val="24"/>
        </w:rPr>
      </w:pPr>
    </w:p>
    <w:p w:rsidR="00FC50F4" w:rsidRDefault="00FC50F4" w:rsidP="00FC50F4">
      <w:pPr>
        <w:jc w:val="center"/>
        <w:rPr>
          <w:b/>
          <w:sz w:val="28"/>
          <w:szCs w:val="28"/>
        </w:rPr>
      </w:pPr>
    </w:p>
    <w:p w:rsidR="00FC50F4" w:rsidRDefault="00FC50F4" w:rsidP="00FC5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СОГЛАШЕНИЕ</w:t>
      </w:r>
    </w:p>
    <w:p w:rsidR="00FC50F4" w:rsidRDefault="00FC50F4" w:rsidP="00FC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FC50F4" w:rsidRDefault="00FC50F4" w:rsidP="00FC50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_____</w:t>
      </w:r>
    </w:p>
    <w:p w:rsidR="00FC50F4" w:rsidRDefault="00FC50F4" w:rsidP="00FC50F4">
      <w:pPr>
        <w:jc w:val="both"/>
        <w:rPr>
          <w:sz w:val="28"/>
          <w:szCs w:val="28"/>
        </w:rPr>
      </w:pPr>
    </w:p>
    <w:p w:rsidR="00FC50F4" w:rsidRDefault="00FC50F4" w:rsidP="00FC50F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с. Исаклы                                                                           «____»  декабря  2022  г</w:t>
      </w:r>
      <w:r>
        <w:rPr>
          <w:sz w:val="22"/>
          <w:szCs w:val="22"/>
        </w:rPr>
        <w:t xml:space="preserve">.               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C50F4" w:rsidRPr="00DB1C01" w:rsidRDefault="00FC50F4" w:rsidP="00FC50F4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Собрание представителей муниципального района Исаклинский Самарской области </w:t>
      </w:r>
      <w:r w:rsidRPr="00A53772">
        <w:rPr>
          <w:rFonts w:ascii="Times New Roman" w:hAnsi="Times New Roman"/>
          <w:sz w:val="28"/>
          <w:szCs w:val="28"/>
        </w:rPr>
        <w:t xml:space="preserve">(далее – Собрание представителей муниципального района) в лице председателя  </w:t>
      </w:r>
      <w:r w:rsidRPr="00A53772">
        <w:rPr>
          <w:rFonts w:ascii="Times New Roman" w:hAnsi="Times New Roman"/>
          <w:b/>
          <w:sz w:val="28"/>
          <w:szCs w:val="28"/>
        </w:rPr>
        <w:t>Смирнова Владимира Павловича</w:t>
      </w:r>
      <w:proofErr w:type="gramEnd"/>
      <w:r w:rsidRPr="00A53772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A53772">
        <w:rPr>
          <w:rFonts w:ascii="Times New Roman" w:hAnsi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/>
          <w:sz w:val="28"/>
          <w:szCs w:val="28"/>
        </w:rPr>
        <w:t xml:space="preserve"> муниципального района Исаклинский,  контрольно – счетная </w:t>
      </w:r>
      <w:r w:rsidRPr="00DB1C01">
        <w:rPr>
          <w:rFonts w:ascii="Times New Roman" w:hAnsi="Times New Roman"/>
          <w:sz w:val="28"/>
          <w:szCs w:val="28"/>
        </w:rPr>
        <w:t>палата муниципального  района Исаклинский в лице предсе</w:t>
      </w:r>
      <w:r>
        <w:rPr>
          <w:rFonts w:ascii="Times New Roman" w:hAnsi="Times New Roman"/>
          <w:sz w:val="28"/>
          <w:szCs w:val="28"/>
        </w:rPr>
        <w:t xml:space="preserve">дателя </w:t>
      </w:r>
      <w:r w:rsidRPr="00DB1C01">
        <w:rPr>
          <w:rFonts w:ascii="Times New Roman" w:hAnsi="Times New Roman"/>
          <w:b/>
          <w:sz w:val="28"/>
          <w:szCs w:val="28"/>
        </w:rPr>
        <w:t>Семёновой Антонины Николаевны,</w:t>
      </w:r>
      <w:r w:rsidRPr="00DB1C01">
        <w:rPr>
          <w:rFonts w:ascii="Times New Roman" w:hAnsi="Times New Roman"/>
          <w:sz w:val="28"/>
          <w:szCs w:val="28"/>
        </w:rPr>
        <w:t xml:space="preserve"> действующего на основании Поло</w:t>
      </w:r>
      <w:r>
        <w:rPr>
          <w:rFonts w:ascii="Times New Roman" w:hAnsi="Times New Roman"/>
          <w:sz w:val="28"/>
          <w:szCs w:val="28"/>
        </w:rPr>
        <w:t>жения о контрольно – счетной палате муниципального района Исаклинский</w:t>
      </w:r>
      <w:r w:rsidRPr="00660DCD">
        <w:rPr>
          <w:rFonts w:ascii="Times New Roman" w:hAnsi="Times New Roman"/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Pr="00DB1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______________ (далее – Собрание представителей </w:t>
      </w:r>
      <w:r w:rsidRPr="00DB1C01">
        <w:rPr>
          <w:rFonts w:ascii="Times New Roman" w:hAnsi="Times New Roman"/>
          <w:sz w:val="28"/>
          <w:szCs w:val="28"/>
        </w:rPr>
        <w:t xml:space="preserve"> поселения) в лице председателя </w:t>
      </w:r>
      <w:r>
        <w:rPr>
          <w:rFonts w:ascii="Times New Roman" w:hAnsi="Times New Roman"/>
          <w:b/>
          <w:sz w:val="28"/>
          <w:szCs w:val="28"/>
        </w:rPr>
        <w:t xml:space="preserve">________________, </w:t>
      </w:r>
      <w:r w:rsidRPr="00DB1C01">
        <w:rPr>
          <w:rFonts w:ascii="Times New Roman" w:hAnsi="Times New Roman"/>
          <w:i/>
          <w:sz w:val="28"/>
          <w:szCs w:val="28"/>
        </w:rPr>
        <w:t xml:space="preserve"> </w:t>
      </w:r>
      <w:r w:rsidRPr="00DB1C01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_______ муниципального района Исаклинский  Самарской области  </w:t>
      </w:r>
      <w:r w:rsidRPr="00DB1C01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</w:t>
      </w:r>
      <w:proofErr w:type="gramEnd"/>
      <w:r w:rsidRPr="00DB1C01">
        <w:rPr>
          <w:rFonts w:ascii="Times New Roman" w:hAnsi="Times New Roman"/>
          <w:sz w:val="28"/>
          <w:szCs w:val="28"/>
        </w:rPr>
        <w:t xml:space="preserve"> исполнение </w:t>
      </w:r>
      <w:r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DB1C01">
        <w:rPr>
          <w:rFonts w:ascii="Times New Roman" w:hAnsi="Times New Roman"/>
          <w:sz w:val="28"/>
          <w:szCs w:val="28"/>
        </w:rPr>
        <w:t xml:space="preserve"> муниципального района от ___________________№ _______</w:t>
      </w:r>
      <w:r>
        <w:rPr>
          <w:rFonts w:ascii="Times New Roman" w:hAnsi="Times New Roman"/>
          <w:sz w:val="28"/>
          <w:szCs w:val="28"/>
        </w:rPr>
        <w:t>_____ и Собрания представителей</w:t>
      </w:r>
      <w:r w:rsidRPr="00DB1C01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DB1C01">
        <w:rPr>
          <w:rFonts w:ascii="Times New Roman" w:hAnsi="Times New Roman"/>
          <w:sz w:val="28"/>
          <w:szCs w:val="28"/>
        </w:rPr>
        <w:t>от</w:t>
      </w:r>
      <w:proofErr w:type="gramEnd"/>
      <w:r w:rsidRPr="00DB1C01">
        <w:rPr>
          <w:rFonts w:ascii="Times New Roman" w:hAnsi="Times New Roman"/>
          <w:sz w:val="28"/>
          <w:szCs w:val="28"/>
        </w:rPr>
        <w:t xml:space="preserve"> ___________________№ ____________ о нижеследующем.</w:t>
      </w:r>
    </w:p>
    <w:p w:rsidR="00FC50F4" w:rsidRPr="00DB1C01" w:rsidRDefault="00FC50F4" w:rsidP="00FC50F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C50F4" w:rsidRDefault="00FC50F4" w:rsidP="00FC50F4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FC50F4" w:rsidRDefault="00FC50F4" w:rsidP="00FC50F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Предмет Соглашения</w:t>
      </w:r>
    </w:p>
    <w:p w:rsidR="00FC50F4" w:rsidRDefault="00FC50F4" w:rsidP="00FC50F4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Предметом настоящего Соглашения является передача контрольно-</w:t>
      </w:r>
      <w:r>
        <w:rPr>
          <w:color w:val="000000"/>
          <w:sz w:val="28"/>
          <w:szCs w:val="28"/>
        </w:rPr>
        <w:lastRenderedPageBreak/>
        <w:t>счетному органу муниципального района Исаклинский (далее – контрольно-счетная палата)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 (далее – поселение) в бюджет муниципального района Исаклинский межбюджетных трансфертов на осуществление переданных полномочий.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Контрольно-счетному органу района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</w:t>
      </w:r>
      <w:r>
        <w:rPr>
          <w:i/>
          <w:sz w:val="28"/>
          <w:szCs w:val="28"/>
          <w:vertAlign w:val="superscript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правовыми актами  поселения.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Срок действия Соглашения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Соглашение заключено на срок три года и действует в период с 1 января 2023 г. по 31 декабря 2025 г.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стандартные расходы на оплату труда;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 роста оплаты труда;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иных затрат;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объема работ.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Стандартные расходы на оплату труда устанавливаются в размере </w:t>
      </w:r>
      <w:r>
        <w:rPr>
          <w:sz w:val="28"/>
          <w:szCs w:val="28"/>
        </w:rPr>
        <w:t xml:space="preserve"> _________   рублей  и определены исходя из размера 1/3 годового фонда оплаты труда с начислениями работника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Коэффициент иных затрат устанавливается равным 1,25.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footnoteReference w:id="1"/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 месяца до начала очередного года. 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Объем межбюджетных трансфертов на первый год действия Соглашения, определенный в установленном выше порядке, равен __________  рублей.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Для проведения 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FC50F4" w:rsidRDefault="00FC50F4" w:rsidP="00FC50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</w:t>
      </w:r>
      <w:r>
        <w:rPr>
          <w:color w:val="000000"/>
          <w:sz w:val="28"/>
          <w:szCs w:val="28"/>
        </w:rPr>
        <w:lastRenderedPageBreak/>
        <w:t>трансфертов перечисляется в сроки, установленные дополнительным соглашением.</w:t>
      </w:r>
    </w:p>
    <w:p w:rsidR="00FC50F4" w:rsidRDefault="00FC50F4" w:rsidP="00FC50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FC50F4" w:rsidRDefault="00FC50F4" w:rsidP="00FC50F4">
      <w:pPr>
        <w:shd w:val="clear" w:color="auto" w:fill="FFFFFF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3.11.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FC50F4" w:rsidRPr="00812FF5" w:rsidRDefault="00FC50F4" w:rsidP="00FC50F4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812FF5">
        <w:rPr>
          <w:b/>
          <w:color w:val="000000"/>
          <w:sz w:val="28"/>
          <w:szCs w:val="28"/>
        </w:rPr>
        <w:t>4.1.Представительный орган муниципального района: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C50F4" w:rsidRPr="00812FF5" w:rsidRDefault="00FC50F4" w:rsidP="00FC50F4">
      <w:pPr>
        <w:shd w:val="clear" w:color="auto" w:fill="FFFFFF"/>
        <w:ind w:left="900"/>
        <w:jc w:val="both"/>
        <w:rPr>
          <w:b/>
          <w:color w:val="000000"/>
          <w:sz w:val="28"/>
          <w:szCs w:val="28"/>
        </w:rPr>
      </w:pPr>
      <w:r w:rsidRPr="00812FF5">
        <w:rPr>
          <w:b/>
          <w:color w:val="000000"/>
          <w:sz w:val="28"/>
          <w:szCs w:val="28"/>
        </w:rPr>
        <w:t>4.2. Контрольно-счетный орган  района: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 включает в планы своей работы:</w:t>
      </w:r>
    </w:p>
    <w:p w:rsidR="00FC50F4" w:rsidRDefault="00FC50F4" w:rsidP="00FC50F4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4.2.5) имеет право проводить контрольные и экспертно-аналитические мероприятий совместно с другими органами и организациями, </w:t>
      </w:r>
      <w:r>
        <w:rPr>
          <w:color w:val="000000"/>
          <w:sz w:val="28"/>
          <w:szCs w:val="28"/>
        </w:rPr>
        <w:lastRenderedPageBreak/>
        <w:t>с привлечением их специалистов и независимых экспертов;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4.2.6) направляет отчеты и заключения по результатам </w:t>
      </w:r>
      <w:proofErr w:type="gramStart"/>
      <w:r>
        <w:rPr>
          <w:color w:val="000000"/>
          <w:sz w:val="28"/>
          <w:szCs w:val="28"/>
        </w:rPr>
        <w:t>проведенных</w:t>
      </w:r>
      <w:proofErr w:type="gramEnd"/>
      <w:r>
        <w:rPr>
          <w:color w:val="000000"/>
          <w:sz w:val="28"/>
          <w:szCs w:val="28"/>
        </w:rPr>
        <w:t xml:space="preserve">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 размещает информацию о проведенных мероприятиях на своем официальном сайте в сети «Интернет»;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 обеспечивает использование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FC50F4" w:rsidRPr="00812FF5" w:rsidRDefault="00FC50F4" w:rsidP="00FC50F4">
      <w:pPr>
        <w:shd w:val="clear" w:color="auto" w:fill="FFFFFF"/>
        <w:ind w:firstLine="900"/>
        <w:jc w:val="both"/>
        <w:rPr>
          <w:b/>
          <w:color w:val="000000"/>
          <w:sz w:val="28"/>
          <w:szCs w:val="28"/>
        </w:rPr>
      </w:pPr>
      <w:r w:rsidRPr="00812FF5">
        <w:rPr>
          <w:b/>
          <w:color w:val="000000"/>
          <w:sz w:val="28"/>
          <w:szCs w:val="28"/>
        </w:rPr>
        <w:t>4.3. Представительный орган поселения: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C50F4" w:rsidRDefault="00FC50F4" w:rsidP="00FC50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>
        <w:rPr>
          <w:color w:val="000000"/>
          <w:sz w:val="28"/>
          <w:szCs w:val="28"/>
        </w:rPr>
        <w:t>непроведенные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ненадлежаще</w:t>
      </w:r>
      <w:proofErr w:type="spellEnd"/>
      <w:r>
        <w:rPr>
          <w:color w:val="000000"/>
          <w:sz w:val="28"/>
          <w:szCs w:val="28"/>
        </w:rPr>
        <w:t xml:space="preserve"> проведенные) мероприятия.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неперечисления</w:t>
      </w:r>
      <w:proofErr w:type="spellEnd"/>
      <w:r>
        <w:rPr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>
        <w:rPr>
          <w:sz w:val="28"/>
          <w:szCs w:val="28"/>
        </w:rPr>
        <w:t>неперечисленной</w:t>
      </w:r>
      <w:proofErr w:type="spellEnd"/>
      <w:r>
        <w:rPr>
          <w:sz w:val="28"/>
          <w:szCs w:val="28"/>
        </w:rPr>
        <w:t xml:space="preserve"> суммы.</w:t>
      </w:r>
      <w:proofErr w:type="gramEnd"/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2"/>
      <w:bookmarkStart w:id="1" w:name="OLE_LINK1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>
        <w:rPr>
          <w:color w:val="000000"/>
          <w:sz w:val="28"/>
          <w:szCs w:val="28"/>
        </w:rPr>
        <w:t>непроведенные</w:t>
      </w:r>
      <w:proofErr w:type="spellEnd"/>
      <w:r>
        <w:rPr>
          <w:color w:val="000000"/>
          <w:sz w:val="28"/>
          <w:szCs w:val="28"/>
        </w:rPr>
        <w:t xml:space="preserve"> мероприятия.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FC50F4" w:rsidTr="00FD0460">
        <w:tc>
          <w:tcPr>
            <w:tcW w:w="4927" w:type="dxa"/>
            <w:shd w:val="clear" w:color="auto" w:fill="auto"/>
          </w:tcPr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представителей муниципального района Исаклинский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__________________(В.П.Смирнов)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_________декабря</w:t>
            </w:r>
            <w:proofErr w:type="spellEnd"/>
            <w:r>
              <w:rPr>
                <w:color w:val="000000"/>
              </w:rPr>
              <w:t xml:space="preserve"> 2022 года)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представителей сельского поселения ______________________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__________________(ФИО)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___________декабря</w:t>
            </w:r>
            <w:proofErr w:type="spellEnd"/>
            <w:r>
              <w:rPr>
                <w:color w:val="000000"/>
              </w:rPr>
              <w:t xml:space="preserve"> 2022 года)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FC50F4" w:rsidTr="00FD0460">
        <w:tc>
          <w:tcPr>
            <w:tcW w:w="4927" w:type="dxa"/>
            <w:shd w:val="clear" w:color="auto" w:fill="auto"/>
          </w:tcPr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 – счетной палаты муниципального района Исаклинский</w:t>
            </w:r>
            <w:r>
              <w:rPr>
                <w:color w:val="000000"/>
              </w:rPr>
              <w:t xml:space="preserve"> 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__________________(А.Н.Семёнова)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__________декабря</w:t>
            </w:r>
            <w:proofErr w:type="spellEnd"/>
            <w:r>
              <w:rPr>
                <w:color w:val="000000"/>
              </w:rPr>
              <w:t xml:space="preserve"> 2022 года)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C50F4" w:rsidRDefault="00FC50F4" w:rsidP="00FD0460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C02CC6" w:rsidRDefault="00C02CC6" w:rsidP="00C02CC6">
      <w:pPr>
        <w:outlineLvl w:val="0"/>
        <w:sectPr w:rsidR="00C02CC6" w:rsidSect="00D7395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02CC6" w:rsidRDefault="00C02CC6" w:rsidP="00C02CC6">
      <w:pPr>
        <w:jc w:val="right"/>
        <w:rPr>
          <w:szCs w:val="24"/>
        </w:rPr>
      </w:pPr>
      <w:r>
        <w:rPr>
          <w:szCs w:val="24"/>
        </w:rPr>
        <w:lastRenderedPageBreak/>
        <w:t>приложение к Соглашению</w:t>
      </w:r>
    </w:p>
    <w:p w:rsidR="00C02CC6" w:rsidRDefault="00C02CC6" w:rsidP="00C02CC6">
      <w:pPr>
        <w:jc w:val="right"/>
        <w:rPr>
          <w:szCs w:val="24"/>
        </w:rPr>
      </w:pPr>
    </w:p>
    <w:p w:rsidR="00C02CC6" w:rsidRPr="00C02CC6" w:rsidRDefault="00C02CC6" w:rsidP="00C02CC6">
      <w:pPr>
        <w:rPr>
          <w:szCs w:val="24"/>
        </w:rPr>
      </w:pPr>
      <w:r w:rsidRPr="00965775">
        <w:rPr>
          <w:b/>
          <w:szCs w:val="24"/>
        </w:rPr>
        <w:t>Расчет объема межбюджетных трансфертов на осуществление полномочий по внешней проверке поселений на 2023-2025 годы</w:t>
      </w:r>
    </w:p>
    <w:tbl>
      <w:tblPr>
        <w:tblStyle w:val="ac"/>
        <w:tblW w:w="14786" w:type="dxa"/>
        <w:tblInd w:w="108" w:type="dxa"/>
        <w:tblLayout w:type="fixed"/>
        <w:tblLook w:val="04A0"/>
      </w:tblPr>
      <w:tblGrid>
        <w:gridCol w:w="3544"/>
        <w:gridCol w:w="1531"/>
        <w:gridCol w:w="1517"/>
        <w:gridCol w:w="1600"/>
        <w:gridCol w:w="1306"/>
        <w:gridCol w:w="1728"/>
        <w:gridCol w:w="1517"/>
        <w:gridCol w:w="2043"/>
      </w:tblGrid>
      <w:tr w:rsidR="00C02CC6" w:rsidRPr="008A4545" w:rsidTr="00BF6992">
        <w:tc>
          <w:tcPr>
            <w:tcW w:w="3544" w:type="dxa"/>
          </w:tcPr>
          <w:p w:rsidR="00C02CC6" w:rsidRPr="008A4545" w:rsidRDefault="00C02CC6" w:rsidP="00BF6992">
            <w:r>
              <w:t>Наименование поселения</w:t>
            </w:r>
          </w:p>
        </w:tc>
        <w:tc>
          <w:tcPr>
            <w:tcW w:w="1531" w:type="dxa"/>
          </w:tcPr>
          <w:p w:rsidR="00C02CC6" w:rsidRPr="008A4545" w:rsidRDefault="00C02CC6" w:rsidP="00BF6992">
            <w:r>
              <w:t>Численность населения поселения</w:t>
            </w:r>
          </w:p>
        </w:tc>
        <w:tc>
          <w:tcPr>
            <w:tcW w:w="1517" w:type="dxa"/>
          </w:tcPr>
          <w:p w:rsidR="00C02CC6" w:rsidRPr="008A4545" w:rsidRDefault="00C02CC6" w:rsidP="00BF6992">
            <w:r>
              <w:t>Коэффициент численности</w:t>
            </w:r>
          </w:p>
        </w:tc>
        <w:tc>
          <w:tcPr>
            <w:tcW w:w="1600" w:type="dxa"/>
          </w:tcPr>
          <w:p w:rsidR="00C02CC6" w:rsidRDefault="00C02CC6" w:rsidP="00BF6992">
            <w:r>
              <w:t xml:space="preserve">Объем расходов </w:t>
            </w:r>
          </w:p>
          <w:p w:rsidR="00C02CC6" w:rsidRPr="008A4545" w:rsidRDefault="00C02CC6" w:rsidP="00BF6992">
            <w:r>
              <w:t>бюджета</w:t>
            </w:r>
          </w:p>
        </w:tc>
        <w:tc>
          <w:tcPr>
            <w:tcW w:w="1306" w:type="dxa"/>
          </w:tcPr>
          <w:p w:rsidR="00C02CC6" w:rsidRPr="008A4545" w:rsidRDefault="00C02CC6" w:rsidP="00BF6992">
            <w:r>
              <w:t>Коэффициент объема расходов</w:t>
            </w:r>
          </w:p>
        </w:tc>
        <w:tc>
          <w:tcPr>
            <w:tcW w:w="1728" w:type="dxa"/>
          </w:tcPr>
          <w:p w:rsidR="00C02CC6" w:rsidRPr="008A4545" w:rsidRDefault="00C02CC6" w:rsidP="00BF6992">
            <w:r>
              <w:t>Коэффициент объема работ</w:t>
            </w:r>
          </w:p>
        </w:tc>
        <w:tc>
          <w:tcPr>
            <w:tcW w:w="1517" w:type="dxa"/>
          </w:tcPr>
          <w:p w:rsidR="00C02CC6" w:rsidRPr="008A4545" w:rsidRDefault="00C02CC6" w:rsidP="00BF6992">
            <w:r>
              <w:t>Коэффициент иных затрат</w:t>
            </w:r>
          </w:p>
        </w:tc>
        <w:tc>
          <w:tcPr>
            <w:tcW w:w="2043" w:type="dxa"/>
          </w:tcPr>
          <w:p w:rsidR="00C02CC6" w:rsidRPr="008A4545" w:rsidRDefault="00C02CC6" w:rsidP="00BF6992">
            <w:r>
              <w:t>Сумма межбюджетных трансфертов</w:t>
            </w:r>
          </w:p>
        </w:tc>
      </w:tr>
      <w:tr w:rsidR="00C02CC6" w:rsidRPr="008A4545" w:rsidTr="00BF6992">
        <w:tc>
          <w:tcPr>
            <w:tcW w:w="3544" w:type="dxa"/>
          </w:tcPr>
          <w:p w:rsidR="00C02CC6" w:rsidRPr="008A4545" w:rsidRDefault="00C02CC6" w:rsidP="00BF6992">
            <w:r>
              <w:t>1</w:t>
            </w:r>
          </w:p>
        </w:tc>
        <w:tc>
          <w:tcPr>
            <w:tcW w:w="1531" w:type="dxa"/>
          </w:tcPr>
          <w:p w:rsidR="00C02CC6" w:rsidRPr="008A4545" w:rsidRDefault="00C02CC6" w:rsidP="00BF6992">
            <w:r>
              <w:t>2</w:t>
            </w:r>
          </w:p>
        </w:tc>
        <w:tc>
          <w:tcPr>
            <w:tcW w:w="1517" w:type="dxa"/>
          </w:tcPr>
          <w:p w:rsidR="00C02CC6" w:rsidRPr="008A4545" w:rsidRDefault="00C02CC6" w:rsidP="00BF6992">
            <w:r>
              <w:t>3</w:t>
            </w:r>
          </w:p>
        </w:tc>
        <w:tc>
          <w:tcPr>
            <w:tcW w:w="1600" w:type="dxa"/>
          </w:tcPr>
          <w:p w:rsidR="00C02CC6" w:rsidRPr="008A4545" w:rsidRDefault="00C02CC6" w:rsidP="00BF6992">
            <w:r>
              <w:t>4</w:t>
            </w:r>
          </w:p>
        </w:tc>
        <w:tc>
          <w:tcPr>
            <w:tcW w:w="1306" w:type="dxa"/>
          </w:tcPr>
          <w:p w:rsidR="00C02CC6" w:rsidRPr="008A4545" w:rsidRDefault="00C02CC6" w:rsidP="00BF6992">
            <w:r>
              <w:t>5</w:t>
            </w:r>
          </w:p>
        </w:tc>
        <w:tc>
          <w:tcPr>
            <w:tcW w:w="1728" w:type="dxa"/>
          </w:tcPr>
          <w:p w:rsidR="00C02CC6" w:rsidRDefault="00C02CC6" w:rsidP="00BF6992">
            <w:r>
              <w:t>6= (гр3+гр5)/2</w:t>
            </w:r>
          </w:p>
          <w:p w:rsidR="00C02CC6" w:rsidRPr="008A4545" w:rsidRDefault="00C02CC6" w:rsidP="00BF6992"/>
        </w:tc>
        <w:tc>
          <w:tcPr>
            <w:tcW w:w="1517" w:type="dxa"/>
          </w:tcPr>
          <w:p w:rsidR="00C02CC6" w:rsidRPr="008A4545" w:rsidRDefault="00C02CC6" w:rsidP="00BF6992">
            <w:r>
              <w:t>7</w:t>
            </w:r>
          </w:p>
        </w:tc>
        <w:tc>
          <w:tcPr>
            <w:tcW w:w="2043" w:type="dxa"/>
          </w:tcPr>
          <w:p w:rsidR="00C02CC6" w:rsidRPr="008A4545" w:rsidRDefault="00C02CC6" w:rsidP="00BF6992">
            <w:r>
              <w:t>8= ФОТ  тыс. руб. *гр. 6*гр.7</w:t>
            </w:r>
          </w:p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>Два Ключа</w:t>
            </w:r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>Исаклы</w:t>
            </w:r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rPr>
          <w:trHeight w:val="70"/>
        </w:trPr>
        <w:tc>
          <w:tcPr>
            <w:tcW w:w="3544" w:type="dxa"/>
          </w:tcPr>
          <w:p w:rsidR="00C02CC6" w:rsidRPr="00567223" w:rsidRDefault="00C02CC6" w:rsidP="00BF6992">
            <w:proofErr w:type="spellStart"/>
            <w:r w:rsidRPr="00567223">
              <w:t>Мордово-Ишуткино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>Ключи</w:t>
            </w:r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 xml:space="preserve">Большое </w:t>
            </w:r>
            <w:proofErr w:type="spellStart"/>
            <w:r w:rsidRPr="00567223">
              <w:t>Микушкино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 xml:space="preserve">Новое  </w:t>
            </w:r>
            <w:proofErr w:type="spellStart"/>
            <w:r w:rsidRPr="00567223">
              <w:t>Ганькино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 xml:space="preserve">Новое </w:t>
            </w:r>
            <w:proofErr w:type="spellStart"/>
            <w:r w:rsidRPr="00567223">
              <w:t>Якушкино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 xml:space="preserve">Старое </w:t>
            </w:r>
            <w:proofErr w:type="spellStart"/>
            <w:r w:rsidRPr="00567223">
              <w:t>Вечканово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567223" w:rsidTr="00BF6992">
        <w:tc>
          <w:tcPr>
            <w:tcW w:w="3544" w:type="dxa"/>
          </w:tcPr>
          <w:p w:rsidR="00C02CC6" w:rsidRPr="00567223" w:rsidRDefault="00C02CC6" w:rsidP="00BF6992">
            <w:pPr>
              <w:rPr>
                <w:b/>
              </w:rPr>
            </w:pPr>
            <w:r w:rsidRPr="00567223">
              <w:rPr>
                <w:b/>
              </w:rPr>
              <w:t>итого</w:t>
            </w:r>
          </w:p>
        </w:tc>
        <w:tc>
          <w:tcPr>
            <w:tcW w:w="1531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517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600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306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728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517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2043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</w:tr>
    </w:tbl>
    <w:p w:rsidR="00C02CC6" w:rsidRDefault="00C02CC6" w:rsidP="00C02CC6">
      <w:pPr>
        <w:jc w:val="both"/>
        <w:rPr>
          <w:szCs w:val="24"/>
        </w:rPr>
      </w:pPr>
      <w:r w:rsidRPr="000E0B81">
        <w:rPr>
          <w:b/>
          <w:szCs w:val="24"/>
        </w:rPr>
        <w:t>ФОТ с начислениями</w:t>
      </w:r>
      <w:r w:rsidRPr="00567223">
        <w:rPr>
          <w:szCs w:val="24"/>
        </w:rPr>
        <w:t xml:space="preserve"> работник</w:t>
      </w:r>
      <w:r>
        <w:rPr>
          <w:szCs w:val="24"/>
        </w:rPr>
        <w:t xml:space="preserve">а  КСП, осуществляющего предусмотренные Соглашением полномочия,  установлены в размере </w:t>
      </w:r>
      <w:proofErr w:type="spellStart"/>
      <w:r>
        <w:rPr>
          <w:szCs w:val="24"/>
        </w:rPr>
        <w:t>__________рублей</w:t>
      </w:r>
      <w:proofErr w:type="spellEnd"/>
      <w:r>
        <w:rPr>
          <w:szCs w:val="24"/>
        </w:rPr>
        <w:t xml:space="preserve"> и определены исходя из размера 1/3 годового  фонда и доли его рабочего времени, затраченного на осуществление указанных полномочий   (</w:t>
      </w:r>
      <w:proofErr w:type="spellStart"/>
      <w:r>
        <w:rPr>
          <w:szCs w:val="24"/>
        </w:rPr>
        <w:t>з</w:t>
      </w:r>
      <w:proofErr w:type="gramStart"/>
      <w:r>
        <w:rPr>
          <w:szCs w:val="24"/>
        </w:rPr>
        <w:t>.п</w:t>
      </w:r>
      <w:proofErr w:type="spellEnd"/>
      <w:proofErr w:type="gramEnd"/>
      <w:r>
        <w:rPr>
          <w:szCs w:val="24"/>
        </w:rPr>
        <w:t xml:space="preserve"> по штатному расписанию руб.  * К </w:t>
      </w:r>
      <w:proofErr w:type="spellStart"/>
      <w:r>
        <w:rPr>
          <w:szCs w:val="24"/>
        </w:rPr>
        <w:t>оэф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повыш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з.п</w:t>
      </w:r>
      <w:proofErr w:type="spellEnd"/>
      <w:r>
        <w:rPr>
          <w:szCs w:val="24"/>
        </w:rPr>
        <w:t xml:space="preserve"> .* 1.302 (начисления))*12 мес. *1/3).</w:t>
      </w:r>
    </w:p>
    <w:p w:rsidR="00C02CC6" w:rsidRDefault="00C02CC6" w:rsidP="00C02CC6">
      <w:pPr>
        <w:jc w:val="both"/>
        <w:rPr>
          <w:szCs w:val="24"/>
        </w:rPr>
      </w:pPr>
      <w:r w:rsidRPr="000E0B81">
        <w:rPr>
          <w:b/>
          <w:szCs w:val="24"/>
        </w:rPr>
        <w:t>Объем расходов</w:t>
      </w:r>
      <w:r>
        <w:rPr>
          <w:szCs w:val="24"/>
        </w:rPr>
        <w:t xml:space="preserve"> – план  за 2023 (без субсидий)</w:t>
      </w:r>
    </w:p>
    <w:p w:rsidR="00C02CC6" w:rsidRPr="00443504" w:rsidRDefault="00C02CC6" w:rsidP="00C02CC6">
      <w:pPr>
        <w:jc w:val="both"/>
        <w:rPr>
          <w:szCs w:val="24"/>
        </w:rPr>
      </w:pPr>
      <w:r w:rsidRPr="00443504">
        <w:rPr>
          <w:b/>
          <w:szCs w:val="24"/>
        </w:rPr>
        <w:t>Коэффициент численности</w:t>
      </w:r>
      <w:r w:rsidRPr="00443504">
        <w:rPr>
          <w:szCs w:val="24"/>
        </w:rPr>
        <w:t xml:space="preserve"> (</w:t>
      </w:r>
      <w:r w:rsidRPr="00443504">
        <w:rPr>
          <w:color w:val="000000"/>
          <w:szCs w:val="24"/>
        </w:rPr>
        <w:t>отношение численности населения поселения в последнем отчетном году к средней численности населения поселений муниципального района в последнем отчетном году)</w:t>
      </w:r>
    </w:p>
    <w:p w:rsidR="00C02CC6" w:rsidRPr="00443504" w:rsidRDefault="00C02CC6" w:rsidP="00C02CC6">
      <w:pPr>
        <w:jc w:val="both"/>
        <w:rPr>
          <w:szCs w:val="24"/>
        </w:rPr>
      </w:pPr>
      <w:r w:rsidRPr="00443504">
        <w:rPr>
          <w:b/>
          <w:color w:val="000000"/>
          <w:szCs w:val="24"/>
        </w:rPr>
        <w:t xml:space="preserve">Коэффициент объема расходов </w:t>
      </w:r>
      <w:r w:rsidRPr="00443504">
        <w:rPr>
          <w:color w:val="000000"/>
          <w:szCs w:val="24"/>
        </w:rPr>
        <w:t>(отношение объема расходов бюджета поселения в последнем отчетном году к среднему объему расходов бюджетов поселений муниципального района в последнем отчетном году)</w:t>
      </w:r>
    </w:p>
    <w:p w:rsidR="00C02CC6" w:rsidRPr="00443504" w:rsidRDefault="00C02CC6" w:rsidP="00C02CC6">
      <w:pPr>
        <w:jc w:val="both"/>
        <w:rPr>
          <w:color w:val="000000"/>
          <w:szCs w:val="24"/>
        </w:rPr>
      </w:pPr>
      <w:r w:rsidRPr="00443504">
        <w:rPr>
          <w:b/>
          <w:color w:val="000000"/>
          <w:szCs w:val="24"/>
        </w:rPr>
        <w:t>Коэффициент объема работ</w:t>
      </w:r>
      <w:r w:rsidRPr="00443504">
        <w:rPr>
          <w:color w:val="000000"/>
          <w:szCs w:val="24"/>
        </w:rPr>
        <w:t xml:space="preserve"> (среднее арифметическое из коэффициентов численности населения и объема расходов)</w:t>
      </w:r>
    </w:p>
    <w:p w:rsidR="00C02CC6" w:rsidRDefault="00C02CC6" w:rsidP="00C02CC6">
      <w:pPr>
        <w:jc w:val="both"/>
        <w:rPr>
          <w:szCs w:val="24"/>
        </w:rPr>
        <w:sectPr w:rsidR="00C02CC6" w:rsidSect="00C02CC6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r w:rsidRPr="00443504">
        <w:rPr>
          <w:b/>
          <w:color w:val="000000"/>
          <w:szCs w:val="24"/>
        </w:rPr>
        <w:t>Коэффициент иных затрат</w:t>
      </w:r>
      <w:r w:rsidRPr="00443504">
        <w:rPr>
          <w:color w:val="000000"/>
          <w:szCs w:val="24"/>
        </w:rPr>
        <w:t xml:space="preserve"> -  устанавливается равным 1,2</w:t>
      </w:r>
      <w:r>
        <w:rPr>
          <w:color w:val="000000"/>
          <w:szCs w:val="24"/>
        </w:rPr>
        <w:t>5</w:t>
      </w:r>
    </w:p>
    <w:p w:rsidR="00C02CC6" w:rsidRPr="00A97244" w:rsidRDefault="00C02CC6" w:rsidP="00C02CC6">
      <w:pPr>
        <w:outlineLvl w:val="0"/>
      </w:pPr>
    </w:p>
    <w:sectPr w:rsidR="00C02CC6" w:rsidRPr="00A97244" w:rsidSect="00D739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45" w:rsidRDefault="00970045" w:rsidP="00FC50F4">
      <w:r>
        <w:separator/>
      </w:r>
    </w:p>
  </w:endnote>
  <w:endnote w:type="continuationSeparator" w:id="0">
    <w:p w:rsidR="00970045" w:rsidRDefault="00970045" w:rsidP="00FC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45" w:rsidRDefault="00970045" w:rsidP="00FC50F4">
      <w:r>
        <w:separator/>
      </w:r>
    </w:p>
  </w:footnote>
  <w:footnote w:type="continuationSeparator" w:id="0">
    <w:p w:rsidR="00970045" w:rsidRDefault="00970045" w:rsidP="00FC50F4">
      <w:r>
        <w:continuationSeparator/>
      </w:r>
    </w:p>
  </w:footnote>
  <w:footnote w:id="1">
    <w:p w:rsidR="00FC50F4" w:rsidRDefault="00FC50F4" w:rsidP="00FC50F4">
      <w:pPr>
        <w:pStyle w:val="aa"/>
      </w:pPr>
      <w:r>
        <w:rPr>
          <w:rStyle w:val="a9"/>
        </w:rPr>
        <w:footnoteRef/>
      </w:r>
      <w:r>
        <w:tab/>
        <w:t xml:space="preserve"> Коэффициент численности населения менее подвержен ежегодным изменениям, а коэффициент объема расходов позволяет учесть больший объем работ из-за дополнительных направлений расходов (в качестве оценки объема работ может быть использованы как оба приведенных </w:t>
      </w:r>
      <w:proofErr w:type="gramStart"/>
      <w:r>
        <w:t>коэффициента</w:t>
      </w:r>
      <w:proofErr w:type="gramEnd"/>
      <w:r>
        <w:t xml:space="preserve"> так и один из них)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DDC"/>
    <w:rsid w:val="00090D4E"/>
    <w:rsid w:val="000E234F"/>
    <w:rsid w:val="00173DAF"/>
    <w:rsid w:val="00250693"/>
    <w:rsid w:val="00282448"/>
    <w:rsid w:val="002A3C35"/>
    <w:rsid w:val="002B71CC"/>
    <w:rsid w:val="002C39A9"/>
    <w:rsid w:val="00372552"/>
    <w:rsid w:val="003E629C"/>
    <w:rsid w:val="004209B5"/>
    <w:rsid w:val="004879D3"/>
    <w:rsid w:val="004F1916"/>
    <w:rsid w:val="00542254"/>
    <w:rsid w:val="0056739E"/>
    <w:rsid w:val="00612A9B"/>
    <w:rsid w:val="00636D0E"/>
    <w:rsid w:val="007049F8"/>
    <w:rsid w:val="0075551C"/>
    <w:rsid w:val="00785AFA"/>
    <w:rsid w:val="007D10AB"/>
    <w:rsid w:val="007E32D0"/>
    <w:rsid w:val="00871B04"/>
    <w:rsid w:val="00911AFE"/>
    <w:rsid w:val="0092419C"/>
    <w:rsid w:val="00970045"/>
    <w:rsid w:val="0097589F"/>
    <w:rsid w:val="00994F0A"/>
    <w:rsid w:val="009A6F2A"/>
    <w:rsid w:val="00A06DC2"/>
    <w:rsid w:val="00A2709F"/>
    <w:rsid w:val="00A47873"/>
    <w:rsid w:val="00A56B7D"/>
    <w:rsid w:val="00A8343C"/>
    <w:rsid w:val="00A97244"/>
    <w:rsid w:val="00AA40B2"/>
    <w:rsid w:val="00C02CC6"/>
    <w:rsid w:val="00C26E5B"/>
    <w:rsid w:val="00C36DDC"/>
    <w:rsid w:val="00D64089"/>
    <w:rsid w:val="00E54020"/>
    <w:rsid w:val="00EB23D0"/>
    <w:rsid w:val="00ED65F8"/>
    <w:rsid w:val="00F20818"/>
    <w:rsid w:val="00F474FB"/>
    <w:rsid w:val="00FC50F4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DC"/>
    <w:pPr>
      <w:ind w:left="720"/>
      <w:contextualSpacing/>
    </w:pPr>
  </w:style>
  <w:style w:type="paragraph" w:customStyle="1" w:styleId="Standard">
    <w:name w:val="Standard"/>
    <w:rsid w:val="00C36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C36DDC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5">
    <w:name w:val="Знак Знак Знак"/>
    <w:basedOn w:val="a"/>
    <w:rsid w:val="00A97244"/>
    <w:pPr>
      <w:widowControl/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6">
    <w:name w:val="Прижатый влево"/>
    <w:basedOn w:val="a"/>
    <w:next w:val="a"/>
    <w:rsid w:val="004209B5"/>
    <w:pPr>
      <w:widowControl/>
      <w:suppressAutoHyphens w:val="0"/>
      <w:autoSpaceDE w:val="0"/>
      <w:autoSpaceDN w:val="0"/>
      <w:adjustRightInd w:val="0"/>
    </w:pPr>
    <w:rPr>
      <w:rFonts w:ascii="Arial" w:hAnsi="Arial"/>
      <w:szCs w:val="24"/>
      <w:lang w:eastAsia="ru-RU"/>
    </w:rPr>
  </w:style>
  <w:style w:type="paragraph" w:customStyle="1" w:styleId="a7">
    <w:name w:val="Знак Знак Знак"/>
    <w:basedOn w:val="a"/>
    <w:rsid w:val="00A06DC2"/>
    <w:pPr>
      <w:widowControl/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character" w:styleId="a8">
    <w:name w:val="Hyperlink"/>
    <w:basedOn w:val="a0"/>
    <w:unhideWhenUsed/>
    <w:rsid w:val="00994F0A"/>
    <w:rPr>
      <w:color w:val="0000FF"/>
      <w:u w:val="single"/>
    </w:rPr>
  </w:style>
  <w:style w:type="character" w:customStyle="1" w:styleId="a9">
    <w:name w:val="Символ сноски"/>
    <w:basedOn w:val="a0"/>
    <w:rsid w:val="00FC50F4"/>
    <w:rPr>
      <w:vertAlign w:val="superscript"/>
    </w:rPr>
  </w:style>
  <w:style w:type="paragraph" w:styleId="aa">
    <w:name w:val="footnote text"/>
    <w:basedOn w:val="a"/>
    <w:link w:val="ab"/>
    <w:rsid w:val="00FC50F4"/>
    <w:pPr>
      <w:widowControl/>
    </w:pPr>
    <w:rPr>
      <w:sz w:val="20"/>
      <w:lang w:eastAsia="ar-SA"/>
    </w:rPr>
  </w:style>
  <w:style w:type="character" w:customStyle="1" w:styleId="ab">
    <w:name w:val="Текст сноски Знак"/>
    <w:basedOn w:val="a0"/>
    <w:link w:val="aa"/>
    <w:rsid w:val="00FC50F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C02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02C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2CC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C02C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2C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B30F7-87B6-451B-ADCB-1488767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25</cp:revision>
  <cp:lastPrinted>2022-12-13T07:36:00Z</cp:lastPrinted>
  <dcterms:created xsi:type="dcterms:W3CDTF">2016-11-29T10:59:00Z</dcterms:created>
  <dcterms:modified xsi:type="dcterms:W3CDTF">2022-12-13T07:44:00Z</dcterms:modified>
</cp:coreProperties>
</file>